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4E4D" w14:textId="77777777" w:rsidR="00BE7C69" w:rsidRPr="00BE7C69" w:rsidRDefault="00BE7C69" w:rsidP="00BE7C69">
      <w:pPr>
        <w:spacing w:after="0" w:line="240" w:lineRule="auto"/>
        <w:jc w:val="center"/>
        <w:rPr>
          <w:rFonts w:ascii="Times New Roman" w:eastAsia="Calibri" w:hAnsi="Times New Roman" w:cs="Calibri"/>
          <w:b/>
          <w:i/>
          <w:color w:val="000000"/>
          <w:sz w:val="27"/>
          <w:szCs w:val="27"/>
          <w:lang w:eastAsia="hu-HU"/>
        </w:rPr>
      </w:pPr>
      <w:r w:rsidRPr="00BE7C69">
        <w:rPr>
          <w:rFonts w:ascii="Times New Roman" w:eastAsia="Calibri" w:hAnsi="Times New Roman" w:cs="Calibri"/>
          <w:b/>
          <w:i/>
          <w:color w:val="000000"/>
          <w:sz w:val="27"/>
          <w:szCs w:val="27"/>
          <w:lang w:eastAsia="hu-HU"/>
        </w:rPr>
        <w:t>ADATKEZELÉSI TÁJÉKOZTATÓ</w:t>
      </w:r>
    </w:p>
    <w:p w14:paraId="36EEA68E" w14:textId="77777777" w:rsidR="00BE7C69" w:rsidRPr="00BE7C69" w:rsidRDefault="00BE7C69" w:rsidP="00BE7C69">
      <w:pPr>
        <w:spacing w:after="0" w:line="240" w:lineRule="auto"/>
        <w:jc w:val="center"/>
        <w:rPr>
          <w:rFonts w:ascii="Times New Roman" w:eastAsia="Calibri" w:hAnsi="Times New Roman" w:cs="Calibri"/>
          <w:b/>
          <w:i/>
          <w:color w:val="000000"/>
          <w:sz w:val="24"/>
          <w:szCs w:val="24"/>
          <w:lang w:eastAsia="hu-HU"/>
        </w:rPr>
      </w:pPr>
    </w:p>
    <w:p w14:paraId="7C787378" w14:textId="77777777"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hu-HU"/>
        </w:rPr>
        <w:t xml:space="preserve">A természetes személyeknek a személyes adatok kezelése tekintetében történő védelméről és az ilyen adatok szabad áramlásáról, valamint a 95/46/EK irányelv hatályon kívül helyezéséről szóló, az Európai Parlament és a Tanács (EU) 2016/679 rendelet (a továbbiakban: általános adatvédelmi rendelet) </w:t>
      </w:r>
      <w:r w:rsidRPr="00BE7C69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hu-HU"/>
        </w:rPr>
        <w:t xml:space="preserve">13. cikkében és egyéb vonatkozó rendelkezéseiben foglaltak szerint </w:t>
      </w:r>
      <w:r w:rsidRPr="00BE7C6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hu-HU"/>
        </w:rPr>
        <w:t>„Magyar Sportcsillagok Ösztöndíjprogramban való részvétel”</w:t>
      </w:r>
      <w:r w:rsidRPr="00BE7C6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hu-HU"/>
        </w:rPr>
        <w:t xml:space="preserve"> során jelentkező adatkezelési tevékenységgel összefüggésben az alábbiakról tájékoztatom:</w:t>
      </w:r>
    </w:p>
    <w:p w14:paraId="33F2B349" w14:textId="77777777"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hu-HU"/>
        </w:rPr>
      </w:pPr>
    </w:p>
    <w:p w14:paraId="00D4D88E" w14:textId="77777777"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hu-HU"/>
        </w:rPr>
        <w:t>I. Az adatkezelő:</w:t>
      </w:r>
    </w:p>
    <w:p w14:paraId="00847BAF" w14:textId="77777777"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a)</w:t>
      </w:r>
      <w:r w:rsidRPr="00BE7C6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Honvédelmi Minisztérium (1055 Budapest, Balaton u. 7-11., telefonszám: 474-1111, honlap: kormany.hu, email cím: adatvedelem@hm.gov.hu),</w:t>
      </w:r>
    </w:p>
    <w:p w14:paraId="75898F9C" w14:textId="77777777"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b) az adatkezelő képviselője: </w:t>
      </w:r>
      <w:r w:rsidRPr="00BE7C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>Szalay-</w:t>
      </w:r>
      <w:proofErr w:type="spellStart"/>
      <w:r w:rsidRPr="00BE7C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>Bobrovniczky</w:t>
      </w:r>
      <w:proofErr w:type="spellEnd"/>
      <w:r w:rsidRPr="00BE7C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 Kristóf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, honvédelmi miniszter, </w:t>
      </w:r>
    </w:p>
    <w:p w14:paraId="3957515D" w14:textId="77777777"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c) az adatvédelmi tisztviselő és elérhetősége:</w:t>
      </w:r>
      <w:r w:rsidRPr="00BE7C69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dr. Ujfaludi Zoltán ezredes, 474-1111/21-388.</w:t>
      </w:r>
    </w:p>
    <w:p w14:paraId="65D9277D" w14:textId="77777777"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hu-HU"/>
        </w:rPr>
      </w:pPr>
    </w:p>
    <w:p w14:paraId="56CCC3EB" w14:textId="77777777"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hu-HU"/>
        </w:rPr>
        <w:t>II. Az adatkezelés célja és jogalapja, időtartama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: </w:t>
      </w:r>
    </w:p>
    <w:p w14:paraId="08850297" w14:textId="77777777"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a)</w:t>
      </w:r>
      <w:r w:rsidRPr="00BE7C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 Az adatkezelés célja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: Magyar Sportcsillagok Ösztöndíjra (a továbbiakban: Ösztöndíj) benyújtott pályázatok, elbírálása, az Ösztöndíj folyósításáról szóló döntés meghozatala, az Ösztöndíj folyósításának biztosítása.</w:t>
      </w:r>
    </w:p>
    <w:p w14:paraId="71C103C3" w14:textId="77777777"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b)</w:t>
      </w:r>
      <w:r w:rsidRPr="00BE7C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Az adatkezelés</w:t>
      </w:r>
      <w:r w:rsidRPr="00BE7C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 jogalapja: 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az általános adatvédelmi rendelet 6. cikk (1) bekezdés e) pontján alapul, azaz: az adatkezelés közérdekű vagy az adatkezelőre ruházott közhatalmi jogosítvány gyakorlásának keretében végzett feladat végrehajtásához szükséges. Ezen feladatok végrehajtása a sportról szóló 2004. évi I. törvény (a továbbiakban: Stv.) 57/B.§-ban megfogalmazott rendelkezések figyelembevételével történik.</w:t>
      </w:r>
    </w:p>
    <w:p w14:paraId="14BA56CA" w14:textId="77777777"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c)</w:t>
      </w:r>
      <w:r w:rsidRPr="00BE7C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Az adatkezelés</w:t>
      </w:r>
      <w:r w:rsidRPr="00BE7C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 időtartama: 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Az adatkezelés időtartama az Stv. 57/B. § (2) bekezdése értelmében a pénzbeli juttatás folyósítását követő tíz évig, vagy – ha az későbbi – a pénzbeli juttatásra vonatkozóan benyújtott keresetet elbíráló peres eljárásban hozott határozat jogerőre emelkedésének napjáig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, sikertelen pályázatok esetében egy évig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 tart. </w:t>
      </w:r>
    </w:p>
    <w:p w14:paraId="4BA03C1A" w14:textId="77777777"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d) Az adatkezelés során nem történik automatizált döntéshozatal, ideértve a profilalkotást is.</w:t>
      </w:r>
    </w:p>
    <w:p w14:paraId="5D2E9E8A" w14:textId="77777777"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e)</w:t>
      </w:r>
      <w:r w:rsidRPr="00BE7C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A személyes adatok megadása nélkül a II. a) pontban, törvény által meghatározott feladat teljesítése nem lehetséges. </w:t>
      </w:r>
    </w:p>
    <w:p w14:paraId="6084FFF4" w14:textId="77777777"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14:paraId="695C1C17" w14:textId="77777777"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hu-HU"/>
        </w:rPr>
        <w:t>III. Adatközlés, adattovábbítás, adatfeldolgozás</w:t>
      </w:r>
    </w:p>
    <w:p w14:paraId="0DAE8024" w14:textId="77777777"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a) A hivatalos szervek általi esetleges megkeresésre (pl. rendőrség, ügyészség, bíróság) adatot közlünk.</w:t>
      </w:r>
    </w:p>
    <w:p w14:paraId="7A769A20" w14:textId="77777777" w:rsidR="00BE7C69" w:rsidRPr="00BE7C69" w:rsidRDefault="00BE7C69" w:rsidP="00BE7C69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b) Az adatokat a felsorolt tevékenység végrehajtásával, az I. pontban megnevezett adatkezelő által megbízott ügyintéző(k) kezeli(k), mely adatok a sportoló sportágában működő országos sportági szakszövetségek illetve sportági szövetségek, Magyar Olimpiai Bizottság, Magyar Paralimpiai Bizottság, Oktatási Hivatal, Tanácsadó Testület tagjai</w:t>
      </w:r>
      <w:r w:rsidRPr="00BE7C69" w:rsidDel="008A4F83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részére továbbításra kerülnek a Magyar Sportcsillagok Ösztöndíjról szóló 165/2013. (V. 28.) Korm. rendelet 5. § szerinti javaslat, valamint az ösztöndíj jogosultság feltételeinek ellenőrzése céljából. </w:t>
      </w:r>
    </w:p>
    <w:p w14:paraId="3303AE8B" w14:textId="77777777"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c) Adatokat harmadik országba vagy nemzetközi szervezet részére nem továbbítunk.</w:t>
      </w:r>
    </w:p>
    <w:p w14:paraId="2F4BDA25" w14:textId="77777777"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d) Adatfeldolgozót nem veszünk igénybe.</w:t>
      </w:r>
    </w:p>
    <w:p w14:paraId="0BFC9A81" w14:textId="77777777"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hu-HU"/>
        </w:rPr>
      </w:pPr>
    </w:p>
    <w:p w14:paraId="74C01144" w14:textId="77777777" w:rsidR="00BE7C69" w:rsidRPr="00BE7C69" w:rsidRDefault="00BE7C69" w:rsidP="00BE7C69">
      <w:pPr>
        <w:tabs>
          <w:tab w:val="left" w:leader="dot" w:pos="6120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hu-HU"/>
        </w:rPr>
        <w:t>IV. Az Ön jogai</w:t>
      </w:r>
    </w:p>
    <w:p w14:paraId="076345B5" w14:textId="77777777"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14:paraId="0675E8BB" w14:textId="77777777"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Ön jogosult arra, hogy az adatkezeléssel összefüggő tényekről az adatkezelés megkezdését megelőzően </w:t>
      </w:r>
      <w:r w:rsidRPr="00BE7C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>tájékoztatás</w:t>
      </w: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t kapjon, jelen tájékoztató e jogának érvényesülését szolgálja.</w:t>
      </w:r>
    </w:p>
    <w:p w14:paraId="746DF558" w14:textId="77777777"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14:paraId="396A1FA3" w14:textId="77777777"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lastRenderedPageBreak/>
        <w:t>a) Ön az adatkezelés teljes időtartama alatt az adatkezelő által kezelt személyes adataira vonatkozólag az alábbiakat kérelmezheti:</w:t>
      </w:r>
    </w:p>
    <w:p w14:paraId="374C94FF" w14:textId="77777777" w:rsidR="00BE7C69" w:rsidRPr="00BE7C69" w:rsidRDefault="00BE7C69" w:rsidP="00BE7C69">
      <w:pPr>
        <w:tabs>
          <w:tab w:val="left" w:leader="dot" w:pos="612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 xml:space="preserve">- személyes adatokhoz való </w:t>
      </w:r>
      <w:r w:rsidRPr="00BE7C6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  <w:t>hozzáférés</w:t>
      </w: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>t,</w:t>
      </w:r>
    </w:p>
    <w:p w14:paraId="0FFCB9E1" w14:textId="77777777" w:rsidR="00BE7C69" w:rsidRPr="00BE7C69" w:rsidRDefault="00BE7C69" w:rsidP="00BE7C69">
      <w:pPr>
        <w:tabs>
          <w:tab w:val="left" w:leader="dot" w:pos="612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 xml:space="preserve">- személyes adatainak </w:t>
      </w:r>
      <w:r w:rsidRPr="00BE7C6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  <w:t>helyesbítés</w:t>
      </w: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>ét, amennyiben azok pontatlanok,</w:t>
      </w:r>
    </w:p>
    <w:p w14:paraId="6D73ABE6" w14:textId="77777777" w:rsidR="00BE7C69" w:rsidRPr="00BE7C69" w:rsidRDefault="00BE7C69" w:rsidP="00BE7C69">
      <w:pPr>
        <w:tabs>
          <w:tab w:val="left" w:leader="dot" w:pos="612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 xml:space="preserve">- Ön jogosult arra, hogy kérésére az adatkezelés </w:t>
      </w:r>
      <w:r w:rsidRPr="00BE7C6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  <w:t>korlátozás</w:t>
      </w: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>ára kerüljön sor, amennyiben az alábbiakban felsorolt esetek valamelyike teljesül:</w:t>
      </w:r>
    </w:p>
    <w:p w14:paraId="09969B7B" w14:textId="77777777" w:rsidR="00BE7C69" w:rsidRPr="00BE7C69" w:rsidRDefault="00BE7C69" w:rsidP="00BE7C69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>- ha Ön vitatja az adatai pontosságát (korlátozás arra az időtartamra vonatkozik, míg az adatkezelő az adatok pontosságát ellenőrzi),</w:t>
      </w:r>
    </w:p>
    <w:p w14:paraId="71D77A26" w14:textId="77777777" w:rsidR="00BE7C69" w:rsidRPr="00BE7C69" w:rsidRDefault="00BE7C69" w:rsidP="00BE7C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>- jogellenes adatkezelés esetén, Ön törlés helyett az adatok felhasználásának korlátozását kéri,</w:t>
      </w:r>
    </w:p>
    <w:p w14:paraId="7275F40B" w14:textId="77777777" w:rsidR="00BE7C69" w:rsidRPr="00BE7C69" w:rsidRDefault="00BE7C69" w:rsidP="00BE7C69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>- az adatkezelőnek már nincs szüksége a személyes adatokra adatkezelés céljából, de Ön igényli azokat a jogi igényeinek előterjesztéséhez, érvényesítéséhez vagy védelméhez,</w:t>
      </w:r>
    </w:p>
    <w:p w14:paraId="32204E19" w14:textId="77777777" w:rsidR="00BE7C69" w:rsidRPr="00BE7C69" w:rsidRDefault="00BE7C69" w:rsidP="00BE7C69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>- ha Ön tiltakozott az adtakezelés ellen, úgy ez esetben a korlátozás arra az időtartamra vonatkozik, amíg megállapításra nem kerül, hogy az adatkezelő jogos indokai elsőbbséget élveznek-e az Ön jogos indokaival szemben.</w:t>
      </w:r>
    </w:p>
    <w:p w14:paraId="1C60D18D" w14:textId="77777777" w:rsidR="00BE7C69" w:rsidRPr="00BE7C69" w:rsidRDefault="00BE7C69" w:rsidP="00BE7C6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 xml:space="preserve">- A </w:t>
      </w:r>
      <w:r w:rsidRPr="00BE7C6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  <w:t>tiltakozás</w:t>
      </w: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 xml:space="preserve">hoz való joga alapján </w:t>
      </w:r>
      <w:proofErr w:type="gramStart"/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>Ön</w:t>
      </w:r>
      <w:proofErr w:type="gramEnd"/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 xml:space="preserve"> mint érintett jogosult arra, hogy a saját helyzetével kapcsolatos okokból bármikor tiltakozzon személyes adatainak a GDPR 6. cikk (1) bekezdésének e) pontján alapuló kezelése ellen. Ebben az esetben az adatkezelő a személyes adatokat nem kezelheti tovább, kivéve, ha az adatkezelő bizonyítja, hogy az adatkezelést olyan kényszerítő </w:t>
      </w:r>
      <w:proofErr w:type="spellStart"/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>erejű</w:t>
      </w:r>
      <w:proofErr w:type="spellEnd"/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 xml:space="preserve"> jogos okok indokolják, amelyek elsőbbséget élveznek az érintett érdekeivel, jogaival és szabadságaival szemben, vagy amelyek jogi igények előterjesztéséhez, érvényesítéséhez vagy védelméhez kapcsolódnak.</w:t>
      </w:r>
    </w:p>
    <w:p w14:paraId="4953D81A" w14:textId="77777777" w:rsidR="00BE7C69" w:rsidRPr="00BE7C69" w:rsidRDefault="00BE7C69" w:rsidP="00BE7C69">
      <w:pPr>
        <w:tabs>
          <w:tab w:val="left" w:leader="dot" w:pos="61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</w:pPr>
    </w:p>
    <w:p w14:paraId="30963B08" w14:textId="77777777" w:rsidR="00BE7C69" w:rsidRPr="00BE7C69" w:rsidRDefault="00BE7C69" w:rsidP="00BE7C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E7C69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b) </w:t>
      </w: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 xml:space="preserve">Amennyiben megítélése szerint az Önre vonatkozó személyes adatok kezelése megsérti az általános adatvédelmi rendeletet, úgy az adatkezelő adatvédelmi tisztviselőjéhez, a lakóhelye vagy tartózkodási helye szerint </w:t>
      </w:r>
      <w:r w:rsidRPr="00BE7C6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  <w:t>illetékes törvényszékhez fordulhat</w:t>
      </w: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 xml:space="preserve">, valamint </w:t>
      </w:r>
      <w:r w:rsidRPr="00BE7C6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  <w:t>panaszt tehet</w:t>
      </w:r>
      <w:r w:rsidRPr="00BE7C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/>
        </w:rPr>
        <w:t xml:space="preserve"> a Nemzeti Adatvédelmi és Információszabadság Hatóságnál (1055 Budapest, Falk Miksa utca 9-11., levelezési cím: 1363 Budapest, Pf. 9., telefon: +36 (1) 391-1400; e-mail: ugyfelszolgalat@naih.hu; honlap: www.naih.hu).</w:t>
      </w:r>
    </w:p>
    <w:p w14:paraId="0E6376BA" w14:textId="77777777" w:rsidR="00BE7C69" w:rsidRPr="00BE7C69" w:rsidRDefault="00BE7C69" w:rsidP="00BE7C69">
      <w:pPr>
        <w:spacing w:after="1466" w:line="265" w:lineRule="auto"/>
        <w:ind w:left="5120" w:hanging="10"/>
        <w:jc w:val="center"/>
        <w:rPr>
          <w:rFonts w:ascii="Calibri" w:eastAsia="Calibri" w:hAnsi="Calibri" w:cs="Calibri"/>
          <w:color w:val="000000"/>
          <w:lang w:eastAsia="hu-HU"/>
        </w:rPr>
      </w:pPr>
    </w:p>
    <w:p w14:paraId="18CE88BA" w14:textId="77777777" w:rsidR="00F04352" w:rsidRDefault="00F04352"/>
    <w:sectPr w:rsidR="00F04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69"/>
    <w:rsid w:val="00BE7C69"/>
    <w:rsid w:val="00D33BF4"/>
    <w:rsid w:val="00F0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E0BE"/>
  <w15:chartTrackingRefBased/>
  <w15:docId w15:val="{60506CA6-0B8A-41EF-B4D0-4C25BDB7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BE7C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E7C69"/>
    <w:pPr>
      <w:spacing w:line="240" w:lineRule="auto"/>
    </w:pPr>
    <w:rPr>
      <w:rFonts w:ascii="Calibri" w:eastAsia="Calibri" w:hAnsi="Calibri" w:cs="Calibri"/>
      <w:color w:val="000000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E7C69"/>
    <w:rPr>
      <w:rFonts w:ascii="Calibri" w:eastAsia="Calibri" w:hAnsi="Calibri" w:cs="Calibri"/>
      <w:color w:val="00000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7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Csejtei Andrea</dc:creator>
  <cp:keywords/>
  <dc:description/>
  <cp:lastModifiedBy>Terhes Brigitta</cp:lastModifiedBy>
  <cp:revision>2</cp:revision>
  <dcterms:created xsi:type="dcterms:W3CDTF">2023-03-27T06:28:00Z</dcterms:created>
  <dcterms:modified xsi:type="dcterms:W3CDTF">2023-03-27T06:28:00Z</dcterms:modified>
</cp:coreProperties>
</file>